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753EB" w14:textId="35F96550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E936E4">
        <w:t>46395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5057AB39" w14:textId="77777777" w:rsidTr="00E710D3">
        <w:trPr>
          <w:trHeight w:val="576"/>
        </w:trPr>
        <w:tc>
          <w:tcPr>
            <w:tcW w:w="4826" w:type="dxa"/>
          </w:tcPr>
          <w:bookmarkStart w:id="2" w:name="DocumentStyle"/>
          <w:p w14:paraId="14FB428E" w14:textId="1BDFC091" w:rsidR="00E710D3" w:rsidRPr="00E710D3" w:rsidRDefault="000162C9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34925B67A8B340FFA585EB22688B53DE"/>
                </w:placeholder>
                <w15:appearance w15:val="hidden"/>
              </w:sdtPr>
              <w:sdtEndPr/>
              <w:sdtContent>
                <w:r w:rsidR="00E936E4">
                  <w:rPr>
                    <w:b/>
                    <w:caps/>
                    <w:szCs w:val="20"/>
                  </w:rPr>
                  <w:t xml:space="preserve">COMPLIANCE REPORTS FOR FINAL ORDER IN DOCKET No. 42860 (APPLICATION OF DOUGLAS UTILITY COMPANY TO CHANGE WATER AND SEWER RATE/TARIFF IN HARRIS COUNTY, TEXAS) 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31FD3D9F" w14:textId="77777777" w:rsidR="00E936E4" w:rsidRDefault="00E936E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F45432D" w14:textId="77777777" w:rsidR="00E936E4" w:rsidRDefault="00E936E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2004B23" w14:textId="77777777" w:rsidR="00E936E4" w:rsidRDefault="00E936E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94CF468" w14:textId="77777777" w:rsidR="00E936E4" w:rsidRDefault="00E936E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5C1F51A" w14:textId="77777777" w:rsidR="00E936E4" w:rsidRDefault="00E936E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6A4C0A3" w14:textId="1CE4A11E" w:rsidR="00DA790F" w:rsidRPr="008647EB" w:rsidRDefault="00E936E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197F05B5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390AB81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6B44FAD5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4E508EA3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037CD065" w14:textId="0037D248" w:rsidR="007C1C19" w:rsidRPr="008647EB" w:rsidRDefault="00E936E4" w:rsidP="007C1C19">
      <w:pPr>
        <w:spacing w:after="0" w:line="240" w:lineRule="auto"/>
        <w:ind w:firstLine="0"/>
        <w:jc w:val="center"/>
        <w:rPr>
          <w:b/>
          <w:caps/>
        </w:rPr>
      </w:pPr>
      <w:r>
        <w:rPr>
          <w:b/>
          <w:caps/>
        </w:rPr>
        <w:t>Commission Staff’s recommendation on compliance</w:t>
      </w:r>
    </w:p>
    <w:p w14:paraId="6653699D" w14:textId="77777777" w:rsidR="007C1C19" w:rsidRPr="008647EB" w:rsidRDefault="007C1C19" w:rsidP="007C1C19">
      <w:pPr>
        <w:pStyle w:val="CaseCaption"/>
        <w:spacing w:after="0"/>
        <w:contextualSpacing w:val="0"/>
      </w:pPr>
    </w:p>
    <w:p w14:paraId="706C9875" w14:textId="085CB04B" w:rsidR="005F04BA" w:rsidRDefault="00E936E4" w:rsidP="007C1C19">
      <w:pPr>
        <w:pStyle w:val="Paragraph"/>
        <w:rPr>
          <w:iCs/>
        </w:rPr>
      </w:pPr>
      <w:r>
        <w:rPr>
          <w:iCs/>
        </w:rPr>
        <w:t>On April 9, 2019, Douglas Utility Company (Douglas</w:t>
      </w:r>
      <w:r w:rsidR="00E22FDA">
        <w:rPr>
          <w:iCs/>
        </w:rPr>
        <w:t xml:space="preserve"> Utility</w:t>
      </w:r>
      <w:r>
        <w:rPr>
          <w:iCs/>
        </w:rPr>
        <w:t>) filed a second compliance report regarding surcharges in accordance with the Final Order in Docket No. 42860.</w:t>
      </w:r>
      <w:r>
        <w:rPr>
          <w:rStyle w:val="FootnoteReference"/>
          <w:iCs/>
        </w:rPr>
        <w:footnoteReference w:id="2"/>
      </w:r>
      <w:r>
        <w:rPr>
          <w:iCs/>
        </w:rPr>
        <w:t xml:space="preserve"> </w:t>
      </w:r>
      <w:r w:rsidR="007C1C19">
        <w:rPr>
          <w:iCs/>
        </w:rPr>
        <w:t xml:space="preserve">On </w:t>
      </w:r>
      <w:r w:rsidR="005F04BA">
        <w:rPr>
          <w:iCs/>
        </w:rPr>
        <w:t>April 26</w:t>
      </w:r>
      <w:r>
        <w:rPr>
          <w:iCs/>
        </w:rPr>
        <w:t>,</w:t>
      </w:r>
      <w:r w:rsidR="005F04BA">
        <w:rPr>
          <w:iCs/>
        </w:rPr>
        <w:t xml:space="preserve"> </w:t>
      </w:r>
      <w:r>
        <w:rPr>
          <w:iCs/>
        </w:rPr>
        <w:t>20</w:t>
      </w:r>
      <w:r w:rsidR="005F04BA">
        <w:rPr>
          <w:iCs/>
        </w:rPr>
        <w:t>19</w:t>
      </w:r>
      <w:r w:rsidR="007C1C19">
        <w:rPr>
          <w:iCs/>
        </w:rPr>
        <w:t xml:space="preserve">, the administrative law judge (ALJ) filed Order No. </w:t>
      </w:r>
      <w:r w:rsidR="005F04BA">
        <w:rPr>
          <w:iCs/>
        </w:rPr>
        <w:t xml:space="preserve">3, finding that Douglas Utility failed to comply with the surcharge requirements. On December 15, 2023 and February 19, 2024, Douglas </w:t>
      </w:r>
      <w:r w:rsidR="00E22FDA">
        <w:rPr>
          <w:iCs/>
        </w:rPr>
        <w:t xml:space="preserve">Utility </w:t>
      </w:r>
      <w:r w:rsidR="005F04BA">
        <w:rPr>
          <w:iCs/>
        </w:rPr>
        <w:t>filed additional compliance filings waiving any uncollected part of the surcharge and requesting that this compliance docket be closed.</w:t>
      </w:r>
    </w:p>
    <w:p w14:paraId="21798A9C" w14:textId="260E0CA5" w:rsidR="007C1C19" w:rsidRDefault="005F04BA" w:rsidP="007C1C19">
      <w:pPr>
        <w:pStyle w:val="Paragraph"/>
      </w:pPr>
      <w:r>
        <w:rPr>
          <w:iCs/>
        </w:rPr>
        <w:t>On March 6, 2024, the ALJ filed Order No. 4</w:t>
      </w:r>
      <w:r w:rsidR="007C1C19">
        <w:rPr>
          <w:iCs/>
        </w:rPr>
        <w:t>,</w:t>
      </w:r>
      <w:r w:rsidR="007C1C19" w:rsidRPr="00D94E7F">
        <w:t xml:space="preserve"> </w:t>
      </w:r>
      <w:r w:rsidR="007C1C19">
        <w:t xml:space="preserve">establishing a deadline of </w:t>
      </w:r>
      <w:r w:rsidR="00E936E4">
        <w:t>March 20, 2024</w:t>
      </w:r>
      <w:r w:rsidR="007C1C19">
        <w:t xml:space="preserve"> for the (Staff) of the Public Utility Commission of Texas (Commission) to file </w:t>
      </w:r>
      <w:r w:rsidR="00E936E4">
        <w:t xml:space="preserve">a recommendation regarding the sufficiency of </w:t>
      </w:r>
      <w:r>
        <w:t>Douglas</w:t>
      </w:r>
      <w:r w:rsidR="00E22FDA">
        <w:t xml:space="preserve"> Utility</w:t>
      </w:r>
      <w:r>
        <w:t>’</w:t>
      </w:r>
      <w:r w:rsidR="00E22FDA">
        <w:t>s</w:t>
      </w:r>
      <w:r>
        <w:t xml:space="preserve"> compliance filing</w:t>
      </w:r>
      <w:r w:rsidR="007C1C19">
        <w:t>. Therefore, this pleading is timely filed.</w:t>
      </w:r>
    </w:p>
    <w:p w14:paraId="4EC73BC4" w14:textId="77777777" w:rsidR="007C1C19" w:rsidRPr="004B6D44" w:rsidRDefault="007C1C19" w:rsidP="007C1C19">
      <w:pPr>
        <w:pStyle w:val="Paragraph"/>
        <w:rPr>
          <w:iCs/>
        </w:rPr>
      </w:pPr>
    </w:p>
    <w:p w14:paraId="4C4CB7C7" w14:textId="29727B26" w:rsidR="007C1C19" w:rsidRDefault="005F04BA" w:rsidP="007C1C19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t>COMPLIANCE RECOMMENDATION</w:t>
      </w:r>
    </w:p>
    <w:p w14:paraId="06103F4C" w14:textId="4A8B7B5D" w:rsidR="005F04BA" w:rsidRDefault="005F04BA" w:rsidP="005F04BA">
      <w:pPr>
        <w:pStyle w:val="Paragraph"/>
      </w:pPr>
      <w:r>
        <w:t>Staff has reviewed Douglas</w:t>
      </w:r>
      <w:r w:rsidR="00E22FDA">
        <w:t xml:space="preserve"> Utility</w:t>
      </w:r>
      <w:r>
        <w:t>’</w:t>
      </w:r>
      <w:r w:rsidR="00E22FDA">
        <w:t>s</w:t>
      </w:r>
      <w:r>
        <w:t xml:space="preserve"> recent compliance filings and recommends that they are sufficient for the purpose of closing this compliance docket. Specifically, based on the </w:t>
      </w:r>
      <w:r w:rsidR="000A183D">
        <w:t xml:space="preserve">extenuating </w:t>
      </w:r>
      <w:r>
        <w:t>circumstances described by Douglas</w:t>
      </w:r>
      <w:r w:rsidR="00E22FDA">
        <w:t xml:space="preserve"> Utility, as well as Douglas Utility’s waiver of any uncollected part of the surcharge</w:t>
      </w:r>
      <w:r>
        <w:t xml:space="preserve">, there is good cause for </w:t>
      </w:r>
      <w:r w:rsidR="00F627E8">
        <w:t xml:space="preserve">Douglas Utility’s </w:t>
      </w:r>
      <w:r w:rsidR="00025A58">
        <w:t>failure to comply</w:t>
      </w:r>
      <w:r>
        <w:t xml:space="preserve"> with the surcharge requirements</w:t>
      </w:r>
      <w:r w:rsidR="00E22FDA">
        <w:t>. Staff also notes that the Commission</w:t>
      </w:r>
      <w:r w:rsidR="00025A58">
        <w:t xml:space="preserve"> </w:t>
      </w:r>
      <w:r w:rsidR="001F7FF6">
        <w:t xml:space="preserve">has </w:t>
      </w:r>
      <w:r w:rsidR="00E22FDA">
        <w:t>approved CSWR-Texas Utility Operating Company, LLC (CSWR-Texas) to proceed on a transaction to acquire all the water and sewer facilities and service areas held under Douglas Utility’s certificates of convenience and necessity</w:t>
      </w:r>
      <w:r w:rsidR="00025A58">
        <w:t>,</w:t>
      </w:r>
      <w:r w:rsidR="00E22FDA">
        <w:t xml:space="preserve"> and CSWR-Texas and Douglas Utility have closed on that transaction.</w:t>
      </w:r>
      <w:r w:rsidR="00E22FDA">
        <w:rPr>
          <w:rStyle w:val="FootnoteReference"/>
        </w:rPr>
        <w:footnoteReference w:id="3"/>
      </w:r>
      <w:r w:rsidR="00E22FDA">
        <w:t xml:space="preserve"> </w:t>
      </w:r>
      <w:r w:rsidR="00E22FDA">
        <w:lastRenderedPageBreak/>
        <w:t xml:space="preserve">Further, as evidenced by the tariff pages attached to the </w:t>
      </w:r>
      <w:r w:rsidR="001F3235">
        <w:t xml:space="preserve">supplemental </w:t>
      </w:r>
      <w:r w:rsidR="00E22FDA">
        <w:t>joint motio</w:t>
      </w:r>
      <w:r w:rsidR="001F3235">
        <w:t>n to admit to admit evidence and proposed notice of approval</w:t>
      </w:r>
      <w:r w:rsidR="001F7FF6">
        <w:t xml:space="preserve"> filed in Docket No. 54285</w:t>
      </w:r>
      <w:r w:rsidR="001F3235">
        <w:t>, CSWR-Texas has not included any surcharge for any uncollected part of the surcharge.</w:t>
      </w:r>
      <w:r w:rsidR="001F3235">
        <w:rPr>
          <w:rStyle w:val="FootnoteReference"/>
        </w:rPr>
        <w:footnoteReference w:id="4"/>
      </w:r>
      <w:r w:rsidR="001F3235">
        <w:t xml:space="preserve"> </w:t>
      </w:r>
      <w:r w:rsidR="00F627E8">
        <w:t xml:space="preserve">Accordingly, Staff recommends </w:t>
      </w:r>
      <w:r w:rsidR="00F64002">
        <w:t xml:space="preserve">that there is no reason for further compliance with the surcharge requirements and </w:t>
      </w:r>
      <w:r w:rsidR="00F627E8">
        <w:t>that the docket be closed.</w:t>
      </w:r>
    </w:p>
    <w:p w14:paraId="6B5195AC" w14:textId="77777777" w:rsidR="00F627E8" w:rsidRPr="005F04BA" w:rsidRDefault="00F627E8" w:rsidP="005F04BA">
      <w:pPr>
        <w:pStyle w:val="Paragraph"/>
      </w:pPr>
    </w:p>
    <w:p w14:paraId="16179BD9" w14:textId="77777777" w:rsidR="007C1C19" w:rsidRDefault="007C1C19" w:rsidP="007C1C19">
      <w:pPr>
        <w:pStyle w:val="Heading1"/>
        <w:tabs>
          <w:tab w:val="clear" w:pos="1440"/>
        </w:tabs>
        <w:spacing w:before="0" w:after="0" w:line="360" w:lineRule="auto"/>
        <w:ind w:left="0" w:right="0"/>
      </w:pPr>
      <w:r w:rsidRPr="005E0AD2">
        <w:t>CONCLUSION</w:t>
      </w:r>
    </w:p>
    <w:p w14:paraId="22C29D0A" w14:textId="6646FA45" w:rsidR="007C1C19" w:rsidRDefault="00F627E8" w:rsidP="00F627E8">
      <w:pPr>
        <w:autoSpaceDE w:val="0"/>
        <w:autoSpaceDN w:val="0"/>
        <w:adjustRightInd w:val="0"/>
        <w:spacing w:after="0"/>
        <w:rPr>
          <w:bCs/>
        </w:rPr>
      </w:pPr>
      <w:r>
        <w:rPr>
          <w:bCs/>
        </w:rPr>
        <w:t>For the reasons detailed above, Staff recommends that this compliance docket be closed.</w:t>
      </w:r>
    </w:p>
    <w:p w14:paraId="208C32FD" w14:textId="77777777" w:rsidR="00F627E8" w:rsidRDefault="00F627E8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1F0F4DDE" w14:textId="6408734D" w:rsidR="007C1C19" w:rsidRPr="000612C6" w:rsidRDefault="007C1C19" w:rsidP="007C1C19">
      <w:pPr>
        <w:autoSpaceDE w:val="0"/>
        <w:autoSpaceDN w:val="0"/>
        <w:adjustRightInd w:val="0"/>
        <w:spacing w:after="0"/>
        <w:ind w:firstLine="0"/>
        <w:rPr>
          <w:szCs w:val="20"/>
        </w:rPr>
      </w:pPr>
      <w:r w:rsidRPr="000612C6">
        <w:rPr>
          <w:bCs/>
        </w:rPr>
        <w:t xml:space="preserve">Dated: </w:t>
      </w:r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D2269C">
        <w:rPr>
          <w:bCs/>
          <w:noProof/>
        </w:rPr>
        <w:t>March 20, 2024</w:t>
      </w:r>
      <w:r w:rsidRPr="000612C6">
        <w:rPr>
          <w:bCs/>
        </w:rPr>
        <w:fldChar w:fldCharType="end"/>
      </w:r>
    </w:p>
    <w:p w14:paraId="292B1132" w14:textId="77777777" w:rsidR="007C1C19" w:rsidRPr="000612C6" w:rsidRDefault="007C1C19" w:rsidP="007C1C19">
      <w:pPr>
        <w:spacing w:after="0"/>
        <w:ind w:firstLine="0"/>
        <w:rPr>
          <w:bCs/>
        </w:rPr>
      </w:pPr>
    </w:p>
    <w:p w14:paraId="743F72F1" w14:textId="77777777" w:rsidR="007C1C19" w:rsidRPr="000612C6" w:rsidRDefault="007C1C19" w:rsidP="007C1C19">
      <w:pPr>
        <w:spacing w:after="0" w:line="480" w:lineRule="auto"/>
        <w:ind w:left="3600"/>
      </w:pPr>
      <w:r w:rsidRPr="000612C6">
        <w:t>Respectfully submitted,</w:t>
      </w:r>
    </w:p>
    <w:p w14:paraId="41298834" w14:textId="77777777" w:rsidR="007C1C19" w:rsidRPr="000612C6" w:rsidRDefault="007C1C19" w:rsidP="007C1C19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 xml:space="preserve">PUBLIC UTILITY COMMISSION OF TEXAS </w:t>
      </w:r>
    </w:p>
    <w:p w14:paraId="715B0815" w14:textId="77777777" w:rsidR="007C1C19" w:rsidRPr="000612C6" w:rsidRDefault="007C1C19" w:rsidP="007C1C19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>LEGAL DIVISION</w:t>
      </w:r>
    </w:p>
    <w:p w14:paraId="4C51FBA0" w14:textId="77777777" w:rsidR="007C1C19" w:rsidRPr="000612C6" w:rsidRDefault="007C1C19" w:rsidP="007C1C19">
      <w:pPr>
        <w:spacing w:after="0" w:line="240" w:lineRule="auto"/>
        <w:ind w:firstLine="0"/>
        <w:rPr>
          <w:szCs w:val="20"/>
        </w:rPr>
      </w:pPr>
    </w:p>
    <w:p w14:paraId="002EF57B" w14:textId="77777777" w:rsidR="007C1C19" w:rsidRPr="000612C6" w:rsidRDefault="00E41EC3" w:rsidP="007C1C19">
      <w:pPr>
        <w:spacing w:after="0" w:line="240" w:lineRule="auto"/>
        <w:ind w:left="4320" w:firstLine="0"/>
        <w:rPr>
          <w:rFonts w:eastAsia="Calibri"/>
          <w:szCs w:val="20"/>
        </w:rPr>
      </w:pPr>
      <w:r>
        <w:rPr>
          <w:rFonts w:eastAsia="Calibri"/>
          <w:szCs w:val="20"/>
        </w:rPr>
        <w:t>Marisa Lopez Wagley</w:t>
      </w:r>
    </w:p>
    <w:p w14:paraId="248C26AF" w14:textId="77777777" w:rsidR="007C1C19" w:rsidRPr="000612C6" w:rsidRDefault="007C1C19" w:rsidP="007C1C19">
      <w:pPr>
        <w:spacing w:after="0" w:line="240" w:lineRule="auto"/>
        <w:ind w:firstLine="0"/>
        <w:rPr>
          <w:szCs w:val="20"/>
        </w:rPr>
      </w:pP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  <w:t xml:space="preserve">Division Director </w:t>
      </w:r>
    </w:p>
    <w:p w14:paraId="2FB4C77E" w14:textId="77777777" w:rsidR="007C1C19" w:rsidRPr="000612C6" w:rsidRDefault="007C1C19" w:rsidP="007C1C19">
      <w:pPr>
        <w:spacing w:after="0" w:line="240" w:lineRule="auto"/>
        <w:ind w:left="4320" w:firstLine="0"/>
        <w:rPr>
          <w:szCs w:val="20"/>
        </w:rPr>
      </w:pPr>
    </w:p>
    <w:p w14:paraId="4555EC50" w14:textId="77777777" w:rsidR="007C1C19" w:rsidRPr="000612C6" w:rsidRDefault="00E41EC3" w:rsidP="007C1C19">
      <w:pPr>
        <w:spacing w:after="0" w:line="240" w:lineRule="auto"/>
        <w:ind w:firstLine="4320"/>
        <w:jc w:val="left"/>
      </w:pPr>
      <w:r>
        <w:t>Ian Groetsch</w:t>
      </w:r>
    </w:p>
    <w:p w14:paraId="0C57941B" w14:textId="77777777" w:rsidR="007C1C19" w:rsidRPr="000612C6" w:rsidRDefault="007C1C19" w:rsidP="007C1C19">
      <w:pPr>
        <w:spacing w:after="0" w:line="240" w:lineRule="auto"/>
        <w:ind w:firstLine="4320"/>
        <w:jc w:val="left"/>
      </w:pPr>
      <w:r w:rsidRPr="000612C6">
        <w:t>Managing Attorney</w:t>
      </w:r>
    </w:p>
    <w:p w14:paraId="16D97786" w14:textId="77777777" w:rsidR="007C1C19" w:rsidRPr="000612C6" w:rsidRDefault="007C1C19" w:rsidP="007C1C19">
      <w:pPr>
        <w:spacing w:after="0" w:line="240" w:lineRule="auto"/>
        <w:ind w:firstLine="4320"/>
        <w:jc w:val="left"/>
      </w:pPr>
    </w:p>
    <w:p w14:paraId="2FCB0D7F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1BD1955C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0612C6">
        <w:rPr>
          <w:u w:val="single"/>
        </w:rPr>
        <w:t>/s/ Scott Miles</w:t>
      </w:r>
    </w:p>
    <w:p w14:paraId="525BA431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 Miles</w:t>
      </w:r>
    </w:p>
    <w:p w14:paraId="20B6C75E" w14:textId="77777777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State Bar No. 24098103</w:t>
      </w:r>
    </w:p>
    <w:p w14:paraId="7F755D51" w14:textId="25F11D7B" w:rsidR="00BF0D5B" w:rsidRDefault="00BF0D5B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Phillip Lehmann</w:t>
      </w:r>
    </w:p>
    <w:p w14:paraId="1B173F19" w14:textId="3CE7E5BF" w:rsidR="00BF0D5B" w:rsidRPr="000612C6" w:rsidRDefault="00BF0D5B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State Bar No. 24100140</w:t>
      </w:r>
    </w:p>
    <w:p w14:paraId="1F0B1347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1701 N. Congress Avenue</w:t>
      </w:r>
    </w:p>
    <w:p w14:paraId="06EF5221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P.O. Box 13326</w:t>
      </w:r>
    </w:p>
    <w:p w14:paraId="262E6C78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Austin, Texas 78711-3326</w:t>
      </w:r>
    </w:p>
    <w:p w14:paraId="5E03FF13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(512) 936-7228</w:t>
      </w:r>
    </w:p>
    <w:p w14:paraId="5A5D60AE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(512) 936-7268 (facsimile)</w:t>
      </w:r>
    </w:p>
    <w:p w14:paraId="4B52D8D0" w14:textId="77777777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Scott.Miles@puc.texas.gov</w:t>
      </w:r>
    </w:p>
    <w:p w14:paraId="44548917" w14:textId="77777777" w:rsidR="0059201D" w:rsidRPr="0051021C" w:rsidRDefault="0059201D" w:rsidP="00D2269C">
      <w:pPr>
        <w:pStyle w:val="Paragraph"/>
        <w:ind w:firstLine="0"/>
      </w:pPr>
    </w:p>
    <w:p w14:paraId="7A1C15E9" w14:textId="30E958D5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lastRenderedPageBreak/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E936E4" w:rsidRPr="00EF7381">
        <w:t>Docket</w:t>
      </w:r>
      <w:r w:rsidR="00E936E4" w:rsidRPr="00D92C94">
        <w:t xml:space="preserve"> No</w:t>
      </w:r>
      <w:r w:rsidR="00E936E4" w:rsidRPr="008647EB">
        <w:t>.</w:t>
      </w:r>
      <w:r w:rsidR="00E936E4">
        <w:t xml:space="preserve"> 46395</w:t>
      </w:r>
      <w:r w:rsidR="00E936E4" w:rsidRPr="00E936E4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228194B1" w14:textId="77777777" w:rsidR="007C1C19" w:rsidRPr="008647EB" w:rsidRDefault="007C1C19" w:rsidP="007C1C19">
      <w:pPr>
        <w:pStyle w:val="CaseCaption"/>
        <w:spacing w:after="0" w:line="360" w:lineRule="auto"/>
      </w:pPr>
      <w:r w:rsidRPr="008647EB">
        <w:t>CERTIFICATE OF SERVICE</w:t>
      </w:r>
    </w:p>
    <w:p w14:paraId="60320651" w14:textId="333C4CFB" w:rsidR="007C1C19" w:rsidRPr="008647EB" w:rsidRDefault="007C1C19" w:rsidP="007C1C19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21458B">
        <w:t>ill be</w:t>
      </w:r>
      <w:r w:rsidRPr="00893EAC">
        <w:t xml:space="preserve"> provided to all parties of record via electronic mail on</w:t>
      </w:r>
      <w:r>
        <w:t xml:space="preserve"> </w:t>
      </w:r>
      <w:r w:rsidR="00C96690" w:rsidRPr="000612C6">
        <w:rPr>
          <w:bCs/>
        </w:rPr>
        <w:fldChar w:fldCharType="begin"/>
      </w:r>
      <w:r w:rsidR="00C96690" w:rsidRPr="000612C6">
        <w:rPr>
          <w:bCs/>
        </w:rPr>
        <w:instrText xml:space="preserve"> DATE \@ "MMMM d, yyyy" </w:instrText>
      </w:r>
      <w:r w:rsidR="00C96690" w:rsidRPr="000612C6">
        <w:rPr>
          <w:bCs/>
        </w:rPr>
        <w:fldChar w:fldCharType="separate"/>
      </w:r>
      <w:r w:rsidR="00D2269C">
        <w:rPr>
          <w:bCs/>
          <w:noProof/>
        </w:rPr>
        <w:t>March 20, 2024</w:t>
      </w:r>
      <w:r w:rsidR="00C96690" w:rsidRPr="000612C6">
        <w:rPr>
          <w:bCs/>
        </w:rPr>
        <w:fldChar w:fldCharType="end"/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7A293E38" w14:textId="77777777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</w:p>
    <w:p w14:paraId="1B44E0A8" w14:textId="77777777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</w:p>
    <w:p w14:paraId="3C6B5FAD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0612C6">
        <w:rPr>
          <w:u w:val="single"/>
        </w:rPr>
        <w:t>/s/ Scott Miles</w:t>
      </w:r>
    </w:p>
    <w:p w14:paraId="7E425718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 Miles</w:t>
      </w:r>
    </w:p>
    <w:p w14:paraId="52143F76" w14:textId="77777777" w:rsidR="00DA790F" w:rsidRPr="00893EAC" w:rsidRDefault="00DA790F" w:rsidP="007C1C19">
      <w:pPr>
        <w:pStyle w:val="CaseCaption"/>
        <w:rPr>
          <w:szCs w:val="20"/>
          <w:u w:val="single"/>
        </w:rPr>
      </w:pP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DDE03" w14:textId="77777777" w:rsidR="00E936E4" w:rsidRDefault="00E936E4">
      <w:pPr>
        <w:spacing w:after="0" w:line="240" w:lineRule="auto"/>
      </w:pPr>
      <w:r>
        <w:separator/>
      </w:r>
    </w:p>
  </w:endnote>
  <w:endnote w:type="continuationSeparator" w:id="0">
    <w:p w14:paraId="0D5B1851" w14:textId="77777777" w:rsidR="00E936E4" w:rsidRDefault="00E9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B76C4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F8128C" w14:textId="77777777" w:rsidR="00071BFA" w:rsidRDefault="00071BFA" w:rsidP="008016FB">
    <w:pPr>
      <w:pStyle w:val="Footer"/>
    </w:pPr>
  </w:p>
  <w:p w14:paraId="71EC5A6D" w14:textId="77777777" w:rsidR="00071BFA" w:rsidRDefault="00071BFA" w:rsidP="008016FB"/>
  <w:p w14:paraId="1355F213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36290" w14:textId="77777777" w:rsidR="00E936E4" w:rsidRDefault="00E936E4">
      <w:pPr>
        <w:spacing w:after="0" w:line="240" w:lineRule="auto"/>
      </w:pPr>
      <w:r>
        <w:separator/>
      </w:r>
    </w:p>
  </w:footnote>
  <w:footnote w:type="continuationSeparator" w:id="0">
    <w:p w14:paraId="7ED54853" w14:textId="77777777" w:rsidR="00E936E4" w:rsidRDefault="00E936E4">
      <w:pPr>
        <w:spacing w:after="0" w:line="240" w:lineRule="auto"/>
      </w:pPr>
      <w:r>
        <w:continuationSeparator/>
      </w:r>
    </w:p>
  </w:footnote>
  <w:footnote w:type="continuationNotice" w:id="1">
    <w:p w14:paraId="7ABE6D99" w14:textId="77777777" w:rsidR="00E936E4" w:rsidRDefault="00E936E4">
      <w:pPr>
        <w:spacing w:after="0" w:line="240" w:lineRule="auto"/>
      </w:pPr>
    </w:p>
  </w:footnote>
  <w:footnote w:id="2">
    <w:p w14:paraId="791A5A09" w14:textId="3BAD91FF" w:rsidR="00E936E4" w:rsidRDefault="00E936E4">
      <w:pPr>
        <w:pStyle w:val="FootnoteText"/>
      </w:pPr>
      <w:r>
        <w:rPr>
          <w:rStyle w:val="FootnoteReference"/>
        </w:rPr>
        <w:footnoteRef/>
      </w:r>
      <w:r w:rsidR="005F04BA">
        <w:t xml:space="preserve">  </w:t>
      </w:r>
      <w:r w:rsidR="005F04BA">
        <w:rPr>
          <w:i/>
          <w:iCs/>
        </w:rPr>
        <w:t>Application of Douglas Utility Company to Change Water and Sewer Rates/Tariff in Harris County, Texas</w:t>
      </w:r>
      <w:r w:rsidR="005F04BA">
        <w:t>, Docket No. 42860, Final Order (Oct. 7, 2016).</w:t>
      </w:r>
      <w:r>
        <w:t xml:space="preserve"> </w:t>
      </w:r>
    </w:p>
  </w:footnote>
  <w:footnote w:id="3">
    <w:p w14:paraId="2C967715" w14:textId="3E6B7946" w:rsidR="00E22FDA" w:rsidRDefault="00E22FDA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CSWR-Texas Utility Operating Company, LLC and Douglas Utility Company C/O Zieben Group for Sale Transfer, or Merger of Certificate Rights in Harris County</w:t>
      </w:r>
      <w:r>
        <w:t xml:space="preserve">, Docket No. 54285, Order No. 6 Approving Sale and Transfer to Proceed (Apr. 13, 2023) and Notice of Completed Transaction (Oct. 17, 2023). </w:t>
      </w:r>
    </w:p>
  </w:footnote>
  <w:footnote w:id="4">
    <w:p w14:paraId="191D47A4" w14:textId="560A67D5" w:rsidR="001F3235" w:rsidRDefault="001F3235">
      <w:pPr>
        <w:pStyle w:val="FootnoteText"/>
      </w:pPr>
      <w:r>
        <w:rPr>
          <w:rStyle w:val="FootnoteReference"/>
        </w:rPr>
        <w:footnoteRef/>
      </w:r>
      <w:r>
        <w:t xml:space="preserve">  Docket No. 54285, Supplemental Joint Motion to Admit Evidence and Proposed Notice of Approval at Attached Water and Sewer Tariff Pages (Mar. 1, 2024).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C3BA5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439447224">
    <w:abstractNumId w:val="10"/>
  </w:num>
  <w:num w:numId="2" w16cid:durableId="1886218125">
    <w:abstractNumId w:val="24"/>
  </w:num>
  <w:num w:numId="3" w16cid:durableId="1447575890">
    <w:abstractNumId w:val="15"/>
  </w:num>
  <w:num w:numId="4" w16cid:durableId="1082751928">
    <w:abstractNumId w:val="12"/>
  </w:num>
  <w:num w:numId="5" w16cid:durableId="442189172">
    <w:abstractNumId w:val="23"/>
  </w:num>
  <w:num w:numId="6" w16cid:durableId="1410469602">
    <w:abstractNumId w:val="22"/>
  </w:num>
  <w:num w:numId="7" w16cid:durableId="1431461881">
    <w:abstractNumId w:val="16"/>
  </w:num>
  <w:num w:numId="8" w16cid:durableId="269287610">
    <w:abstractNumId w:val="17"/>
  </w:num>
  <w:num w:numId="9" w16cid:durableId="5713519">
    <w:abstractNumId w:val="20"/>
  </w:num>
  <w:num w:numId="10" w16cid:durableId="1029530196">
    <w:abstractNumId w:val="21"/>
  </w:num>
  <w:num w:numId="11" w16cid:durableId="618798251">
    <w:abstractNumId w:val="13"/>
  </w:num>
  <w:num w:numId="12" w16cid:durableId="1248811654">
    <w:abstractNumId w:val="19"/>
  </w:num>
  <w:num w:numId="13" w16cid:durableId="168179347">
    <w:abstractNumId w:val="9"/>
  </w:num>
  <w:num w:numId="14" w16cid:durableId="925501630">
    <w:abstractNumId w:val="7"/>
  </w:num>
  <w:num w:numId="15" w16cid:durableId="2130200326">
    <w:abstractNumId w:val="6"/>
  </w:num>
  <w:num w:numId="16" w16cid:durableId="919174196">
    <w:abstractNumId w:val="5"/>
  </w:num>
  <w:num w:numId="17" w16cid:durableId="1182745321">
    <w:abstractNumId w:val="4"/>
  </w:num>
  <w:num w:numId="18" w16cid:durableId="1873810795">
    <w:abstractNumId w:val="8"/>
  </w:num>
  <w:num w:numId="19" w16cid:durableId="808984980">
    <w:abstractNumId w:val="3"/>
  </w:num>
  <w:num w:numId="20" w16cid:durableId="51277286">
    <w:abstractNumId w:val="2"/>
  </w:num>
  <w:num w:numId="21" w16cid:durableId="1420785011">
    <w:abstractNumId w:val="1"/>
  </w:num>
  <w:num w:numId="22" w16cid:durableId="967587380">
    <w:abstractNumId w:val="0"/>
  </w:num>
  <w:num w:numId="23" w16cid:durableId="1989360705">
    <w:abstractNumId w:val="11"/>
  </w:num>
  <w:num w:numId="24" w16cid:durableId="1791708925">
    <w:abstractNumId w:val="14"/>
  </w:num>
  <w:num w:numId="25" w16cid:durableId="175882126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6E4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2C9"/>
    <w:rsid w:val="00016F1F"/>
    <w:rsid w:val="00022FA6"/>
    <w:rsid w:val="000233F8"/>
    <w:rsid w:val="00025A5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64A81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A183D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235"/>
    <w:rsid w:val="001F356A"/>
    <w:rsid w:val="001F47C0"/>
    <w:rsid w:val="001F5FDD"/>
    <w:rsid w:val="001F7450"/>
    <w:rsid w:val="001F7FF6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58B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4BA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4578"/>
    <w:rsid w:val="00796EEE"/>
    <w:rsid w:val="007972AD"/>
    <w:rsid w:val="0079784E"/>
    <w:rsid w:val="007A38A3"/>
    <w:rsid w:val="007A424D"/>
    <w:rsid w:val="007A5F84"/>
    <w:rsid w:val="007A618F"/>
    <w:rsid w:val="007B1473"/>
    <w:rsid w:val="007B243E"/>
    <w:rsid w:val="007B3FD1"/>
    <w:rsid w:val="007B5AE9"/>
    <w:rsid w:val="007B6943"/>
    <w:rsid w:val="007B7B01"/>
    <w:rsid w:val="007B7FB8"/>
    <w:rsid w:val="007C074A"/>
    <w:rsid w:val="007C1C19"/>
    <w:rsid w:val="007C1E62"/>
    <w:rsid w:val="007C26C6"/>
    <w:rsid w:val="007C5383"/>
    <w:rsid w:val="007C5DB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0D5B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9669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69C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5170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2FDA"/>
    <w:rsid w:val="00E23F6B"/>
    <w:rsid w:val="00E30058"/>
    <w:rsid w:val="00E35B5D"/>
    <w:rsid w:val="00E36398"/>
    <w:rsid w:val="00E363C9"/>
    <w:rsid w:val="00E41E0C"/>
    <w:rsid w:val="00E41EC3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36E4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133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27E8"/>
    <w:rsid w:val="00F64002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1CD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025A5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4925B67A8B340FFA585EB22688B53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92FA65-1677-469A-A254-635412E6FA3C}"/>
      </w:docPartPr>
      <w:docPartBody>
        <w:p w:rsidR="007D7CC1" w:rsidRDefault="007D7CC1">
          <w:pPr>
            <w:pStyle w:val="34925B67A8B340FFA585EB22688B53DE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CC1"/>
    <w:rsid w:val="007D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D7CC1"/>
    <w:rPr>
      <w:color w:val="808080"/>
    </w:rPr>
  </w:style>
  <w:style w:type="paragraph" w:customStyle="1" w:styleId="34925B67A8B340FFA585EB22688B53DE">
    <w:name w:val="34925B67A8B340FFA585EB22688B53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2ACF9C8-277B-424F-B1A8-7CCDF7ADC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2712</Characters>
  <Application>Microsoft Office Word</Application>
  <DocSecurity>0</DocSecurity>
  <Lines>22</Lines>
  <Paragraphs>6</Paragraphs>
  <ScaleCrop>false</ScaleCrop>
  <Manager/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2024-03-20T15:02:00Z</dcterms:created>
  <dcterms:modified xsi:type="dcterms:W3CDTF">2024-03-20T15:02:00Z</dcterms:modified>
</cp:coreProperties>
</file>